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58BC">
      <w:pPr>
        <w:keepNext w:val="0"/>
        <w:keepLines w:val="0"/>
        <w:pageBreakBefore w:val="0"/>
        <w:widowControl w:val="0"/>
        <w:tabs>
          <w:tab w:val="center" w:pos="4462"/>
          <w:tab w:val="left" w:pos="7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信州区博物馆可移动文物数字化保护与利用项目询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价征集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</w:p>
    <w:p w14:paraId="1675A105">
      <w:pPr>
        <w:pStyle w:val="3"/>
        <w:shd w:val="clear" w:color="auto" w:fill="FFFFFF"/>
        <w:ind w:firstLine="640" w:firstLineChars="200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宋体"/>
          <w:color w:val="505050"/>
          <w:sz w:val="32"/>
          <w:szCs w:val="32"/>
          <w:shd w:val="clear" w:color="auto" w:fill="FFFFFF"/>
          <w:lang w:val="zh-CN" w:eastAsia="zh-CN"/>
        </w:rPr>
        <w:t>信州区博物馆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拟对《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信州区博物馆可移动文物数字化保护与利用项目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》进行询价，特邀请具有相关经验的单位参加报价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。</w:t>
      </w:r>
    </w:p>
    <w:p w14:paraId="5EEFD090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  <w:t>项目内容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包含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  <w:t>：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馆藏珍贵文物数字化采集与制作、博物馆藏品管理、多宝阁体感触控系统中的相关内容，具体详见（附件1）询价清单。</w:t>
      </w:r>
    </w:p>
    <w:p w14:paraId="7B3088B9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参询单位要求：</w:t>
      </w:r>
    </w:p>
    <w:p w14:paraId="66EBE97E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2.1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具有独立法人或其他组织；</w:t>
      </w:r>
    </w:p>
    <w:p w14:paraId="7FC586CD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2.2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具有良好的商业信誉和健全的财务会计制度；</w:t>
      </w:r>
    </w:p>
    <w:p w14:paraId="18C10124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2.3具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有依法缴纳税收的良好记录；</w:t>
      </w:r>
    </w:p>
    <w:p w14:paraId="01A59B69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2.4具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有依法缴纳社会保障资金的良好记录；</w:t>
      </w:r>
    </w:p>
    <w:p w14:paraId="1732A0F0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2.5具有类似本项目的相关经验。</w:t>
      </w:r>
    </w:p>
    <w:p w14:paraId="77458BFD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时间：202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之前。</w:t>
      </w:r>
    </w:p>
    <w:p w14:paraId="2DF989BA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参询材料：</w:t>
      </w:r>
    </w:p>
    <w:p w14:paraId="4FB6BEE6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4.1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  <w:t>营业执照副本；</w:t>
      </w:r>
    </w:p>
    <w:p w14:paraId="6B75D61C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4.2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具有良好的商业信誉和健全的财务会计制度证明材料；</w:t>
      </w:r>
    </w:p>
    <w:p w14:paraId="43E7E5F3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4.3具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有依法缴纳税收的良好记录证明材料；</w:t>
      </w:r>
    </w:p>
    <w:p w14:paraId="51A1413A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4.4具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有依法缴纳社会保障资金的良好记录证明材料；</w:t>
      </w:r>
    </w:p>
    <w:p w14:paraId="17F13911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4.5类似本项目经验证明材料。</w:t>
      </w:r>
    </w:p>
    <w:p w14:paraId="4BDB0907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4.6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参询单位联系人、联系电话、单位地址。</w:t>
      </w:r>
    </w:p>
    <w:p w14:paraId="6B073D8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  <w:t>注：以上资料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及报价清单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</w:rPr>
        <w:t>必须加盖公章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，并密封于档案装中，封口处加盖公章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，并于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之前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eastAsia="zh-CN"/>
        </w:rPr>
        <w:t>以邮寄的方式，送达征集单位</w:t>
      </w:r>
      <w:r>
        <w:rPr>
          <w:rFonts w:hint="eastAsia" w:cs="宋体"/>
          <w:color w:val="50505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1A3080F0">
      <w:pPr>
        <w:pStyle w:val="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eastAsia="zh-CN"/>
        </w:rPr>
        <w:t>联系方式</w:t>
      </w:r>
    </w:p>
    <w:p w14:paraId="7582F11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征集单位：</w:t>
      </w:r>
      <w:r>
        <w:rPr>
          <w:rFonts w:hint="eastAsia" w:ascii="宋体" w:hAnsi="宋体" w:cs="宋体"/>
          <w:color w:val="505050"/>
          <w:sz w:val="32"/>
          <w:szCs w:val="32"/>
          <w:shd w:val="clear" w:color="auto" w:fill="FFFFFF"/>
          <w:lang w:val="en-US" w:eastAsia="zh-CN"/>
        </w:rPr>
        <w:t>上饶市</w:t>
      </w:r>
      <w:r>
        <w:rPr>
          <w:rFonts w:ascii="Arial" w:hAnsi="Arial" w:eastAsia="Arial" w:cs="Arial"/>
          <w:i w:val="0"/>
          <w:iCs w:val="0"/>
          <w:caps w:val="0"/>
          <w:color w:val="315EFB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315EFB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instrText xml:space="preserve"> HYPERLINK "https://www.baidu.com/link?url=GvK0DibGxKsDW8p4w0oP81D9CxGKh5V5AjziOWrFDWJEGiTuKKj9TVSY7d1Eq47o5oSsvh1ldwZTnKQUVGhP1_s9lUB2nJOB7BAsHTEvqIJx_sRT12vFmxabE8JQmvml2a--8_Eaob_TVgQOhA7hqN2lMBr-aD32uAaiVctdS67PdZe0l9xcLKpt7dp5ra5ifj32HAE_8BDxD-vdhYU3qq&amp;wd=&amp;eqid=db885afb00cb1de9000000066801f6cf" \t "https://www.baidu.com/_blank" </w:instrText>
      </w:r>
      <w:r>
        <w:rPr>
          <w:rFonts w:ascii="Arial" w:hAnsi="Arial" w:eastAsia="Arial" w:cs="Arial"/>
          <w:i w:val="0"/>
          <w:iCs w:val="0"/>
          <w:caps w:val="0"/>
          <w:color w:val="315EFB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color w:val="505050"/>
          <w:sz w:val="32"/>
          <w:szCs w:val="32"/>
          <w:shd w:val="clear" w:color="auto" w:fill="FFFFFF"/>
          <w:lang w:val="zh-CN" w:eastAsia="zh-CN"/>
        </w:rPr>
        <w:t>信州区博物馆</w:t>
      </w:r>
    </w:p>
    <w:p w14:paraId="7787DB2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15EFB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地    址：</w:t>
      </w:r>
      <w:r>
        <w:rPr>
          <w:rFonts w:hint="default" w:ascii="宋体" w:hAnsi="宋体" w:eastAsia="宋体" w:cs="宋体"/>
          <w:color w:val="505050"/>
          <w:sz w:val="32"/>
          <w:szCs w:val="32"/>
          <w:shd w:val="clear" w:color="auto" w:fill="FFFFFF"/>
          <w:lang w:val="zh-CN" w:eastAsia="zh-CN"/>
        </w:rPr>
        <w:t>上饶市信州区相府路17号</w:t>
      </w:r>
    </w:p>
    <w:p w14:paraId="1564A8E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50505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cs="宋体"/>
          <w:color w:val="505050"/>
          <w:sz w:val="32"/>
          <w:szCs w:val="32"/>
          <w:shd w:val="clear" w:color="auto" w:fill="FFFFFF"/>
          <w:lang w:val="en-US" w:eastAsia="zh-CN"/>
        </w:rPr>
        <w:t xml:space="preserve"> 朱先生   13970305550 </w:t>
      </w:r>
    </w:p>
    <w:p w14:paraId="67FDAC13">
      <w:pPr>
        <w:rPr>
          <w:rFonts w:hint="eastAsia" w:ascii="仿宋" w:hAnsi="仿宋" w:eastAsia="仿宋" w:cs="仿宋"/>
          <w:sz w:val="32"/>
          <w:szCs w:val="32"/>
        </w:rPr>
      </w:pPr>
    </w:p>
    <w:p w14:paraId="7E628609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76E50E52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622AFED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B560AAF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50BAC08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4DDA2FE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4EE7715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2B5133D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A7DB9BC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720E1C9F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95F898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5F2CDD2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14F365F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B7490D3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233DDF4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8F499C2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C95325B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5461CDDD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51412EFB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B906132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E8141CF"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63A53235"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p w14:paraId="648AC35B"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信州区博物馆可移动文物数字化保护与利用项目</w:t>
      </w:r>
      <w:r>
        <w:rPr>
          <w:rFonts w:hint="eastAsia"/>
        </w:rPr>
        <w:t>清单</w:t>
      </w:r>
    </w:p>
    <w:tbl>
      <w:tblPr>
        <w:tblStyle w:val="5"/>
        <w:tblW w:w="11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150"/>
        <w:gridCol w:w="725"/>
        <w:gridCol w:w="700"/>
        <w:gridCol w:w="4655"/>
        <w:gridCol w:w="705"/>
        <w:gridCol w:w="1094"/>
      </w:tblGrid>
      <w:tr w14:paraId="4B6D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0" w:type="dxa"/>
            <w:vAlign w:val="center"/>
          </w:tcPr>
          <w:p w14:paraId="166B819D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序号</w:t>
            </w:r>
          </w:p>
        </w:tc>
        <w:tc>
          <w:tcPr>
            <w:tcW w:w="1200" w:type="dxa"/>
            <w:vAlign w:val="center"/>
          </w:tcPr>
          <w:p w14:paraId="355828B5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采购内容</w:t>
            </w:r>
          </w:p>
        </w:tc>
        <w:tc>
          <w:tcPr>
            <w:tcW w:w="1150" w:type="dxa"/>
            <w:vAlign w:val="center"/>
          </w:tcPr>
          <w:p w14:paraId="121E8096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分项内容</w:t>
            </w:r>
          </w:p>
        </w:tc>
        <w:tc>
          <w:tcPr>
            <w:tcW w:w="725" w:type="dxa"/>
            <w:vAlign w:val="center"/>
          </w:tcPr>
          <w:p w14:paraId="3737A7A3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数量</w:t>
            </w:r>
          </w:p>
        </w:tc>
        <w:tc>
          <w:tcPr>
            <w:tcW w:w="700" w:type="dxa"/>
            <w:vAlign w:val="center"/>
          </w:tcPr>
          <w:p w14:paraId="6D26EFB1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单位</w:t>
            </w:r>
          </w:p>
        </w:tc>
        <w:tc>
          <w:tcPr>
            <w:tcW w:w="4655" w:type="dxa"/>
            <w:vAlign w:val="center"/>
          </w:tcPr>
          <w:p w14:paraId="09C648CC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14:ligatures w14:val="none"/>
              </w:rPr>
              <w:t>系统参数</w:t>
            </w:r>
          </w:p>
        </w:tc>
        <w:tc>
          <w:tcPr>
            <w:tcW w:w="705" w:type="dxa"/>
            <w:vAlign w:val="center"/>
          </w:tcPr>
          <w:p w14:paraId="16E37861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:lang w:eastAsia="zh-CN"/>
                <w14:ligatures w14:val="none"/>
              </w:rPr>
              <w:t>单价</w:t>
            </w:r>
          </w:p>
        </w:tc>
        <w:tc>
          <w:tcPr>
            <w:tcW w:w="1094" w:type="dxa"/>
            <w:vAlign w:val="center"/>
          </w:tcPr>
          <w:p w14:paraId="4199C5C5">
            <w:pPr>
              <w:spacing w:after="0" w:line="240" w:lineRule="auto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2"/>
                <w:lang w:eastAsia="zh-CN"/>
                <w14:ligatures w14:val="none"/>
              </w:rPr>
              <w:t>小计</w:t>
            </w:r>
          </w:p>
        </w:tc>
      </w:tr>
      <w:tr w14:paraId="073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0" w:type="dxa"/>
            <w:vMerge w:val="restart"/>
            <w:vAlign w:val="center"/>
          </w:tcPr>
          <w:p w14:paraId="6ED2E5E6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2BCAACB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14:ligatures w14:val="none"/>
              </w:rPr>
              <w:t>馆藏珍贵文物数字化采集与制作</w:t>
            </w:r>
          </w:p>
        </w:tc>
        <w:tc>
          <w:tcPr>
            <w:tcW w:w="1150" w:type="dxa"/>
            <w:vAlign w:val="center"/>
          </w:tcPr>
          <w:p w14:paraId="1951454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14:ligatures w14:val="none"/>
              </w:rPr>
              <w:t>文物三维数据采集</w:t>
            </w:r>
          </w:p>
        </w:tc>
        <w:tc>
          <w:tcPr>
            <w:tcW w:w="725" w:type="dxa"/>
            <w:vAlign w:val="center"/>
          </w:tcPr>
          <w:p w14:paraId="5DDC3366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57</w:t>
            </w:r>
          </w:p>
        </w:tc>
        <w:tc>
          <w:tcPr>
            <w:tcW w:w="700" w:type="dxa"/>
            <w:vAlign w:val="center"/>
          </w:tcPr>
          <w:p w14:paraId="63ACB222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件</w:t>
            </w:r>
          </w:p>
        </w:tc>
        <w:tc>
          <w:tcPr>
            <w:tcW w:w="4655" w:type="dxa"/>
            <w:vAlign w:val="center"/>
          </w:tcPr>
          <w:p w14:paraId="733AB9A2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.文物三维数据采集精度误差≦10um</w:t>
            </w:r>
          </w:p>
          <w:p w14:paraId="2EF082A6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2.三维数据带实质尺寸数据:</w:t>
            </w:r>
          </w:p>
          <w:p w14:paraId="5BD0EB73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3.点云数据噪音点控制&lt;15%;</w:t>
            </w:r>
          </w:p>
          <w:p w14:paraId="78E5901D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4.纹理影像存储格式为*.RAW，校色后</w:t>
            </w:r>
          </w:p>
          <w:p w14:paraId="19D6939C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输出压缩质量不低于90%的*.jpg格式。</w:t>
            </w:r>
          </w:p>
          <w:p w14:paraId="57E990E0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5.拼合后物体的形态误差≤10um:</w:t>
            </w:r>
          </w:p>
          <w:p w14:paraId="3667CCF9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6.扫描面对物体外表面覆盖率:98%:</w:t>
            </w:r>
          </w:p>
          <w:p w14:paraId="472F4001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7.数据完整性:根据扫描面拼合出完整全视角物体;</w:t>
            </w:r>
          </w:p>
          <w:p w14:paraId="7AB72E24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8.能有效解决高反光材质 文物的扫描和纹理采集:</w:t>
            </w:r>
          </w:p>
          <w:p w14:paraId="60721BBA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9.不能对文物造成任何伤害。</w:t>
            </w:r>
          </w:p>
          <w:p w14:paraId="149EAA21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采集设备单反相机像素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≥50</w:t>
            </w: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00万；</w:t>
            </w:r>
          </w:p>
          <w:p w14:paraId="25F17B9F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纹理分辨率≥4096*4096；</w:t>
            </w:r>
          </w:p>
          <w:p w14:paraId="3C204F1D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纹理无缝拼接，过渡完好；</w:t>
            </w:r>
          </w:p>
          <w:p w14:paraId="046CF61D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纹理贴图尺寸误差≤0.1mm；</w:t>
            </w:r>
          </w:p>
        </w:tc>
        <w:tc>
          <w:tcPr>
            <w:tcW w:w="705" w:type="dxa"/>
            <w:vAlign w:val="center"/>
          </w:tcPr>
          <w:p w14:paraId="632A7001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1874FCA7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7BB9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0" w:type="dxa"/>
            <w:vMerge w:val="continue"/>
            <w:vAlign w:val="center"/>
          </w:tcPr>
          <w:p w14:paraId="1FA4177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525B5F4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150" w:type="dxa"/>
            <w:vAlign w:val="center"/>
          </w:tcPr>
          <w:p w14:paraId="42C23D8A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文物三维数据加工制作</w:t>
            </w:r>
          </w:p>
        </w:tc>
        <w:tc>
          <w:tcPr>
            <w:tcW w:w="725" w:type="dxa"/>
            <w:vAlign w:val="center"/>
          </w:tcPr>
          <w:p w14:paraId="30BFA030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57</w:t>
            </w:r>
          </w:p>
        </w:tc>
        <w:tc>
          <w:tcPr>
            <w:tcW w:w="700" w:type="dxa"/>
            <w:vAlign w:val="center"/>
          </w:tcPr>
          <w:p w14:paraId="42712F19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件</w:t>
            </w:r>
          </w:p>
        </w:tc>
        <w:tc>
          <w:tcPr>
            <w:tcW w:w="4655" w:type="dxa"/>
            <w:vAlign w:val="center"/>
          </w:tcPr>
          <w:p w14:paraId="0B28ADDF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1)三维模型格式应为通用格式OBJ、PLY、MAX；</w:t>
            </w:r>
          </w:p>
          <w:p w14:paraId="32A30B0B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2)三维模型按文物拆分构造单独建模；</w:t>
            </w:r>
          </w:p>
          <w:p w14:paraId="33EB8654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3)三维网格模型封装、无重叠面、无交叉面、无网格锐角；</w:t>
            </w:r>
          </w:p>
          <w:p w14:paraId="6D8D1C7B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4)模型纹理贴图格式根据实际纹理贴图类型需要输出，格式应为jpg、Tga、Png、TIF等；</w:t>
            </w:r>
          </w:p>
          <w:p w14:paraId="598A7DF6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5)模型单张纹理贴图分辨率要求达到4096×4096；</w:t>
            </w:r>
          </w:p>
          <w:p w14:paraId="310F3A22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6)UV展开均匀，切线位置合理、无重叠，摆放充满UV格；</w:t>
            </w:r>
          </w:p>
          <w:p w14:paraId="3035F62E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7)模型法线贴图需要有足够的体积感；</w:t>
            </w:r>
          </w:p>
          <w:p w14:paraId="213215A9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8)模型贴图精度要求，贴图位置偏移≤文物最长边尺寸×1%；</w:t>
            </w:r>
          </w:p>
          <w:p w14:paraId="1975AACC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9)贴图边缘要求，贴图边缘融合自然、无接缝。</w:t>
            </w:r>
          </w:p>
        </w:tc>
        <w:tc>
          <w:tcPr>
            <w:tcW w:w="705" w:type="dxa"/>
            <w:vAlign w:val="center"/>
          </w:tcPr>
          <w:p w14:paraId="522602A4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60D3889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47C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0" w:type="dxa"/>
            <w:vMerge w:val="continue"/>
            <w:vAlign w:val="center"/>
          </w:tcPr>
          <w:p w14:paraId="120CF2DE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5CDE426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150" w:type="dxa"/>
            <w:vAlign w:val="center"/>
          </w:tcPr>
          <w:p w14:paraId="16B653CF">
            <w:pPr>
              <w:spacing w:after="0" w:line="24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文物二维高清数据采集</w:t>
            </w:r>
          </w:p>
        </w:tc>
        <w:tc>
          <w:tcPr>
            <w:tcW w:w="725" w:type="dxa"/>
            <w:vAlign w:val="center"/>
          </w:tcPr>
          <w:p w14:paraId="6BB9E30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15</w:t>
            </w:r>
          </w:p>
        </w:tc>
        <w:tc>
          <w:tcPr>
            <w:tcW w:w="700" w:type="dxa"/>
            <w:vAlign w:val="center"/>
          </w:tcPr>
          <w:p w14:paraId="55481BB3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件</w:t>
            </w:r>
          </w:p>
        </w:tc>
        <w:tc>
          <w:tcPr>
            <w:tcW w:w="4655" w:type="dxa"/>
            <w:vAlign w:val="center"/>
          </w:tcPr>
          <w:p w14:paraId="4A5B81DC">
            <w:pPr>
              <w:spacing w:after="0" w:line="240" w:lineRule="auto"/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1.单张影像分辨率≥</w:t>
            </w:r>
            <w:r>
              <w:rPr>
                <w:rFonts w:ascii="仿宋" w:hAnsi="仿宋" w:eastAsia="仿宋"/>
                <w:bCs/>
                <w:sz w:val="24"/>
                <w:szCs w:val="22"/>
                <w14:ligatures w14:val="none"/>
              </w:rPr>
              <w:t>6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00dpi，RGB真彩色模式进行扫描；以彩色深度：每像素</w:t>
            </w:r>
            <w:r>
              <w:rPr>
                <w:rFonts w:ascii="仿宋" w:hAnsi="仿宋" w:eastAsia="仿宋"/>
                <w:bCs/>
                <w:sz w:val="24"/>
                <w:szCs w:val="22"/>
                <w14:ligatures w14:val="none"/>
              </w:rPr>
              <w:t>12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 xml:space="preserve"> bits；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2.数据拍摄重合度≥50%;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3.纹理色彩与实物相匹配，清晰记录文字图案形态、病害破损情况。</w:t>
            </w:r>
          </w:p>
          <w:p w14:paraId="3391BAFA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bCs/>
                <w:sz w:val="24"/>
                <w:szCs w:val="22"/>
                <w14:ligatures w14:val="none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.单张影像像素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≥50</w:t>
            </w:r>
            <w:r>
              <w:rPr>
                <w:rFonts w:ascii="仿宋" w:hAnsi="仿宋" w:eastAsia="仿宋" w:cs="宋体"/>
                <w:color w:val="000000"/>
                <w:sz w:val="24"/>
                <w:szCs w:val="22"/>
                <w14:ligatures w14:val="none"/>
              </w:rPr>
              <w:t>00万</w:t>
            </w:r>
          </w:p>
        </w:tc>
        <w:tc>
          <w:tcPr>
            <w:tcW w:w="705" w:type="dxa"/>
            <w:vAlign w:val="center"/>
          </w:tcPr>
          <w:p w14:paraId="78BECB6E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2C276E22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6697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0" w:type="dxa"/>
            <w:vMerge w:val="continue"/>
            <w:vAlign w:val="center"/>
          </w:tcPr>
          <w:p w14:paraId="70DE0E75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1DD920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150" w:type="dxa"/>
            <w:vAlign w:val="center"/>
          </w:tcPr>
          <w:p w14:paraId="7C388D6E">
            <w:pPr>
              <w:spacing w:after="0" w:line="24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文物二维高清数据加工处理</w:t>
            </w:r>
          </w:p>
        </w:tc>
        <w:tc>
          <w:tcPr>
            <w:tcW w:w="725" w:type="dxa"/>
            <w:vAlign w:val="center"/>
          </w:tcPr>
          <w:p w14:paraId="2096A235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15</w:t>
            </w:r>
          </w:p>
        </w:tc>
        <w:tc>
          <w:tcPr>
            <w:tcW w:w="700" w:type="dxa"/>
            <w:vAlign w:val="center"/>
          </w:tcPr>
          <w:p w14:paraId="4DD99EC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件</w:t>
            </w:r>
          </w:p>
        </w:tc>
        <w:tc>
          <w:tcPr>
            <w:tcW w:w="4655" w:type="dxa"/>
          </w:tcPr>
          <w:p w14:paraId="30ADE641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1.拼合后高清影像像素</w:t>
            </w:r>
            <w:r>
              <w:rPr>
                <w:rFonts w:ascii="仿宋" w:hAnsi="仿宋" w:eastAsia="仿宋"/>
                <w:bCs/>
                <w:sz w:val="24"/>
                <w:szCs w:val="22"/>
                <w14:ligatures w14:val="none"/>
              </w:rPr>
              <w:t>8000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万级以上；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2.图像外观质量：无噪点、无云块、无划痕、无斑点、无污迹；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3.数据输出格式为TIFF和J</w:t>
            </w:r>
            <w:r>
              <w:rPr>
                <w:rFonts w:ascii="仿宋" w:hAnsi="仿宋" w:eastAsia="仿宋"/>
                <w:bCs/>
                <w:sz w:val="24"/>
                <w:szCs w:val="22"/>
                <w14:ligatures w14:val="none"/>
              </w:rPr>
              <w:t>PEG</w:t>
            </w:r>
            <w:r>
              <w:rPr>
                <w:rFonts w:hint="eastAsia" w:ascii="仿宋" w:hAnsi="仿宋" w:eastAsia="仿宋"/>
                <w:bCs/>
                <w:sz w:val="24"/>
                <w:szCs w:val="22"/>
                <w14:ligatures w14:val="none"/>
              </w:rPr>
              <w:t>，且符合规定的命名格式。</w:t>
            </w:r>
          </w:p>
        </w:tc>
        <w:tc>
          <w:tcPr>
            <w:tcW w:w="705" w:type="dxa"/>
            <w:vAlign w:val="center"/>
          </w:tcPr>
          <w:p w14:paraId="1A6725E8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53D888F6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17AE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780" w:type="dxa"/>
            <w:vAlign w:val="center"/>
          </w:tcPr>
          <w:p w14:paraId="02AA144D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2</w:t>
            </w:r>
          </w:p>
        </w:tc>
        <w:tc>
          <w:tcPr>
            <w:tcW w:w="1200" w:type="dxa"/>
            <w:vAlign w:val="center"/>
          </w:tcPr>
          <w:p w14:paraId="51D97815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博物馆藏品管理</w:t>
            </w:r>
          </w:p>
        </w:tc>
        <w:tc>
          <w:tcPr>
            <w:tcW w:w="1150" w:type="dxa"/>
            <w:vAlign w:val="center"/>
          </w:tcPr>
          <w:p w14:paraId="1EE0B19E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博物馆藏品管理系统</w:t>
            </w:r>
          </w:p>
        </w:tc>
        <w:tc>
          <w:tcPr>
            <w:tcW w:w="725" w:type="dxa"/>
            <w:vAlign w:val="center"/>
          </w:tcPr>
          <w:p w14:paraId="2D0AAD20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1</w:t>
            </w:r>
          </w:p>
        </w:tc>
        <w:tc>
          <w:tcPr>
            <w:tcW w:w="700" w:type="dxa"/>
            <w:vAlign w:val="center"/>
          </w:tcPr>
          <w:p w14:paraId="0DA07D58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套</w:t>
            </w:r>
          </w:p>
        </w:tc>
        <w:tc>
          <w:tcPr>
            <w:tcW w:w="4655" w:type="dxa"/>
            <w:vAlign w:val="center"/>
          </w:tcPr>
          <w:p w14:paraId="60F54ED7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1.藏品管理系统的功能主要包括：藏品征集管理、藏品评定、审核管理、藏品管理、藏品编目、藏品报损、RFID管理、藏品库房管理、出入库管理、藏品调拨、藏品盘点、库位管理、藏品修复管理、藏品借还管理、复制品管理、藏品统计报表、统计分析图、系统管理等核心模块，系统支持导出《中华人民共和国文物藏品档案》。</w:t>
            </w:r>
          </w:p>
          <w:p w14:paraId="1BB8F8E3">
            <w:pPr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2、藏品管理系统架构主要分为数据层、软件层、业务层以及应用层，其中数据层采用统一结构的数字化资源数据库，实现数据层的数据整合与资源内容集成。软件层提供了基础工具支撑，包括内容编辑工具、资源检索工具、发布内容适配工具以及数据接口。业务层包括资源增加、删除、修改、审核等资源管理功能，资源使用功能，数字化内容编辑功能以及统一的数字化内容发布功能。用户通过一个统一认证平台授权后才能根据权限使用其中的功能。应用层提供了简单易操作的用户界面，供运维人员使用。</w:t>
            </w:r>
          </w:p>
        </w:tc>
        <w:tc>
          <w:tcPr>
            <w:tcW w:w="705" w:type="dxa"/>
            <w:vAlign w:val="center"/>
          </w:tcPr>
          <w:p w14:paraId="2230D051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0A2FB1D0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4181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vMerge w:val="restart"/>
            <w:vAlign w:val="center"/>
          </w:tcPr>
          <w:p w14:paraId="38DBCF8D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 w14:paraId="63B62452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多宝阁体感触控系统</w:t>
            </w:r>
          </w:p>
        </w:tc>
        <w:tc>
          <w:tcPr>
            <w:tcW w:w="1150" w:type="dxa"/>
            <w:vAlign w:val="center"/>
          </w:tcPr>
          <w:p w14:paraId="5D9C3E4C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体感触控数字多宝阁互动系统及内容制作</w:t>
            </w:r>
          </w:p>
        </w:tc>
        <w:tc>
          <w:tcPr>
            <w:tcW w:w="725" w:type="dxa"/>
            <w:vAlign w:val="center"/>
          </w:tcPr>
          <w:p w14:paraId="4E0EC1A6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1</w:t>
            </w:r>
          </w:p>
        </w:tc>
        <w:tc>
          <w:tcPr>
            <w:tcW w:w="700" w:type="dxa"/>
            <w:vAlign w:val="center"/>
          </w:tcPr>
          <w:p w14:paraId="2727E78E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套</w:t>
            </w:r>
          </w:p>
        </w:tc>
        <w:tc>
          <w:tcPr>
            <w:tcW w:w="4655" w:type="dxa"/>
            <w:vAlign w:val="center"/>
          </w:tcPr>
          <w:p w14:paraId="40EAFBCB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 xml:space="preserve">1.通过高分辨度及高饱和度的显示技术与高精准的多点触摸屏互动，让观众与藏品“近距离接触”，手指轻轻一动就能放大模型进行观看、旋转、缩 放等互动操作； </w:t>
            </w:r>
          </w:p>
          <w:p w14:paraId="1BD0F3BB">
            <w:pPr>
              <w:widowControl/>
              <w:spacing w:after="0" w:line="360" w:lineRule="auto"/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14:ligatures w14:val="none"/>
              </w:rPr>
              <w:t>2.多宝阁触控系统，支持在线云渲染平台，实现文 物的实时渲染，通过扫二维码可进入文物展示。</w:t>
            </w:r>
          </w:p>
        </w:tc>
        <w:tc>
          <w:tcPr>
            <w:tcW w:w="705" w:type="dxa"/>
            <w:vAlign w:val="center"/>
          </w:tcPr>
          <w:p w14:paraId="3A2314B7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1733C35A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5854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vMerge w:val="continue"/>
            <w:vAlign w:val="center"/>
          </w:tcPr>
          <w:p w14:paraId="6A7E7CAF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1822C9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150" w:type="dxa"/>
            <w:vAlign w:val="center"/>
          </w:tcPr>
          <w:p w14:paraId="49F5E06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65寸高清4K卧式触控一体机</w:t>
            </w:r>
          </w:p>
        </w:tc>
        <w:tc>
          <w:tcPr>
            <w:tcW w:w="725" w:type="dxa"/>
            <w:vAlign w:val="center"/>
          </w:tcPr>
          <w:p w14:paraId="78AF45D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ascii="仿宋" w:hAnsi="仿宋" w:eastAsia="仿宋"/>
                <w:color w:val="000000"/>
                <w:sz w:val="24"/>
                <w:szCs w:val="22"/>
                <w14:ligatures w14:val="none"/>
              </w:rPr>
              <w:t>1</w:t>
            </w:r>
          </w:p>
        </w:tc>
        <w:tc>
          <w:tcPr>
            <w:tcW w:w="700" w:type="dxa"/>
            <w:vAlign w:val="center"/>
          </w:tcPr>
          <w:p w14:paraId="7717CC5B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  <w:t>台</w:t>
            </w:r>
          </w:p>
        </w:tc>
        <w:tc>
          <w:tcPr>
            <w:tcW w:w="4655" w:type="dxa"/>
            <w:vAlign w:val="center"/>
          </w:tcPr>
          <w:p w14:paraId="6707AB2E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  <w:t>设备参数要求如下：</w:t>
            </w:r>
          </w:p>
          <w:p w14:paraId="2C3EE1BF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1.背光源：LED                                                   2.分辨率：3840*2160</w:t>
            </w:r>
          </w:p>
          <w:p w14:paraId="036734A8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3.亮度 (typ)/(min) ：350cd/㎡(Max)</w:t>
            </w:r>
          </w:p>
          <w:p w14:paraId="295BC376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4.对比率 (typ)/(min) ：4000:1</w:t>
            </w:r>
          </w:p>
          <w:p w14:paraId="406642B6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5.响应时间 (typ)/(min) ： 6.5ms (Typ.)</w:t>
            </w:r>
          </w:p>
          <w:p w14:paraId="2E1A067A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6.视角：H 178°，V 178°</w:t>
            </w:r>
          </w:p>
          <w:p w14:paraId="37773F4D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 xml:space="preserve">7.寿命 (typ)/(min) ：50000h                              8.色饱和度 (x% NTSC) ： 68% </w:t>
            </w:r>
          </w:p>
          <w:p w14:paraId="74C443A9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9.可视面积：1428.48(H)*803.52(V)MM</w:t>
            </w:r>
          </w:p>
          <w:p w14:paraId="2864B0AB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10.设备采用红外触控技术，触控方式为手指或笔等不透光物体；</w:t>
            </w:r>
          </w:p>
          <w:p w14:paraId="39DA56C7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11.支持 20 点触控，响应时间：&lt;15 毫秒，触摸有效最小识别物 2mm，触摸精度±1mm；</w:t>
            </w:r>
          </w:p>
          <w:p w14:paraId="083FF526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12.接口：HDMI*1 VGA*1；RJ45 1路；网线接口、WIFI天线*2；USB 3.0*2路 USB2.0*4路；音频接口*2</w:t>
            </w:r>
          </w:p>
          <w:p w14:paraId="18AC7904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 xml:space="preserve">13.内置wifi无线功能，WIFI 支持2.4G工作。 </w:t>
            </w:r>
          </w:p>
          <w:p w14:paraId="2BAB4980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14.音频系统： 喇叭 2×3W(8Ω)；声音模式：标准，立体音效</w:t>
            </w:r>
          </w:p>
          <w:p w14:paraId="652F6C12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15.整机内嵌针脚数,兼容 OPS/OPS-C 等Intel标准规范的插拔式电脑接口</w:t>
            </w:r>
          </w:p>
          <w:p w14:paraId="6751CDB2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16.采用OPS电脑运行 参数：i74600 8g 512gwifi显卡gt850 2G独显</w:t>
            </w:r>
          </w:p>
          <w:p w14:paraId="50E0DC45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17、视频播放：支持H.264,MPEG2,VP6,</w:t>
            </w:r>
          </w:p>
          <w:p w14:paraId="5D6F2BE4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VP8,MVC等视频格式2160P@24FPS</w:t>
            </w:r>
            <w:r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  <w:t>解</w:t>
            </w: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码.YouTube等在线视频、最高可达1080P、HTML5视频播放、Flash10.1播放</w:t>
            </w:r>
            <w:r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  <w:t>;</w:t>
            </w:r>
          </w:p>
          <w:p w14:paraId="0CF3A817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18、图片格式：支持JPG、BMP、PNG等各种图片格式浏览并支持旋转/幻灯片播放/图片放大功能;</w:t>
            </w:r>
          </w:p>
          <w:p w14:paraId="7A844129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19、工作温度／湿度 0℃~50℃/20%～80%； 存储温度／湿度 -10℃~60℃/5--95%;</w:t>
            </w:r>
          </w:p>
          <w:p w14:paraId="3EC4B4AF">
            <w:pPr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20.屏幕表面覆盖3mm厚度钢化玻璃，防水防破；</w:t>
            </w:r>
          </w:p>
          <w:p w14:paraId="333B1F50">
            <w:pPr>
              <w:widowControl/>
              <w:spacing w:after="0" w:line="360" w:lineRule="auto"/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</w:pPr>
            <w:r>
              <w:rPr>
                <w:rFonts w:ascii="仿宋" w:hAnsi="仿宋" w:eastAsia="仿宋"/>
                <w:sz w:val="24"/>
                <w:szCs w:val="22"/>
                <w:lang w:bidi="ar"/>
                <w14:ligatures w14:val="none"/>
              </w:rPr>
              <w:t>21.产品采用卧式底座方式固定</w:t>
            </w:r>
            <w:r>
              <w:rPr>
                <w:rFonts w:hint="eastAsia" w:ascii="仿宋" w:hAnsi="仿宋" w:eastAsia="仿宋"/>
                <w:sz w:val="24"/>
                <w:szCs w:val="22"/>
                <w:lang w:bidi="ar"/>
                <w14:ligatures w14:val="none"/>
              </w:rPr>
              <w:t>。</w:t>
            </w:r>
          </w:p>
        </w:tc>
        <w:tc>
          <w:tcPr>
            <w:tcW w:w="705" w:type="dxa"/>
            <w:vAlign w:val="center"/>
          </w:tcPr>
          <w:p w14:paraId="7E2D097D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1094" w:type="dxa"/>
            <w:vAlign w:val="center"/>
          </w:tcPr>
          <w:p w14:paraId="7C6F8485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  <w:tr w14:paraId="1DEF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915" w:type="dxa"/>
            <w:gridSpan w:val="7"/>
            <w:vAlign w:val="center"/>
          </w:tcPr>
          <w:p w14:paraId="3379D844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2"/>
                <w:lang w:eastAsia="zh-CN"/>
                <w14:ligatures w14:val="none"/>
              </w:rPr>
              <w:t>合计（元）</w:t>
            </w:r>
          </w:p>
        </w:tc>
        <w:tc>
          <w:tcPr>
            <w:tcW w:w="1094" w:type="dxa"/>
            <w:vAlign w:val="center"/>
          </w:tcPr>
          <w:p w14:paraId="2F529D1A">
            <w:pPr>
              <w:spacing w:after="0" w:line="240" w:lineRule="auto"/>
              <w:rPr>
                <w:rFonts w:hint="eastAsia" w:ascii="仿宋" w:hAnsi="仿宋" w:eastAsia="仿宋"/>
                <w:color w:val="000000"/>
                <w:sz w:val="24"/>
                <w:szCs w:val="22"/>
                <w14:ligatures w14:val="none"/>
              </w:rPr>
            </w:pPr>
          </w:p>
        </w:tc>
      </w:tr>
    </w:tbl>
    <w:p w14:paraId="1A85B488">
      <w:pPr>
        <w:rPr>
          <w:rFonts w:hint="eastAsia"/>
        </w:rPr>
      </w:pPr>
    </w:p>
    <w:p w14:paraId="069E2565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2QzODg0Zjk3NjlkZmQxMTYxMzg4NDIwMmYzYzIifQ=="/>
  </w:docVars>
  <w:rsids>
    <w:rsidRoot w:val="00A328FB"/>
    <w:rsid w:val="000A75F8"/>
    <w:rsid w:val="000B5DF9"/>
    <w:rsid w:val="001C5815"/>
    <w:rsid w:val="00A328FB"/>
    <w:rsid w:val="028B1AFE"/>
    <w:rsid w:val="048605CC"/>
    <w:rsid w:val="04E00FA5"/>
    <w:rsid w:val="08AE1C6C"/>
    <w:rsid w:val="0A495F79"/>
    <w:rsid w:val="0D2600D2"/>
    <w:rsid w:val="0EC96181"/>
    <w:rsid w:val="100F3B6B"/>
    <w:rsid w:val="10CF32FA"/>
    <w:rsid w:val="118A7471"/>
    <w:rsid w:val="1260787A"/>
    <w:rsid w:val="150A3A72"/>
    <w:rsid w:val="1B1E3F5F"/>
    <w:rsid w:val="1D392227"/>
    <w:rsid w:val="1F8B7227"/>
    <w:rsid w:val="201D15AB"/>
    <w:rsid w:val="20F538C4"/>
    <w:rsid w:val="25EF3DCB"/>
    <w:rsid w:val="2825407B"/>
    <w:rsid w:val="28567E6B"/>
    <w:rsid w:val="2B3836F1"/>
    <w:rsid w:val="2B6B280A"/>
    <w:rsid w:val="2E4A6371"/>
    <w:rsid w:val="31501985"/>
    <w:rsid w:val="339F1F60"/>
    <w:rsid w:val="348778C5"/>
    <w:rsid w:val="39922270"/>
    <w:rsid w:val="3C6D2A8A"/>
    <w:rsid w:val="3D0F15BD"/>
    <w:rsid w:val="3E234340"/>
    <w:rsid w:val="3FD87A3D"/>
    <w:rsid w:val="40644F5E"/>
    <w:rsid w:val="43346834"/>
    <w:rsid w:val="46831089"/>
    <w:rsid w:val="48F23572"/>
    <w:rsid w:val="49080B7C"/>
    <w:rsid w:val="49751537"/>
    <w:rsid w:val="4B87596B"/>
    <w:rsid w:val="4C2C2DD4"/>
    <w:rsid w:val="4D302F4B"/>
    <w:rsid w:val="535B3F9E"/>
    <w:rsid w:val="54CA7F89"/>
    <w:rsid w:val="55F52DF3"/>
    <w:rsid w:val="59D86349"/>
    <w:rsid w:val="5D5C2089"/>
    <w:rsid w:val="60126780"/>
    <w:rsid w:val="60997EB4"/>
    <w:rsid w:val="62682D2C"/>
    <w:rsid w:val="62957AAD"/>
    <w:rsid w:val="63B05FBE"/>
    <w:rsid w:val="64A92483"/>
    <w:rsid w:val="64AE32F4"/>
    <w:rsid w:val="64B96D77"/>
    <w:rsid w:val="653B70E9"/>
    <w:rsid w:val="691A1E43"/>
    <w:rsid w:val="6983444E"/>
    <w:rsid w:val="698C01F4"/>
    <w:rsid w:val="6A640E0A"/>
    <w:rsid w:val="6E975243"/>
    <w:rsid w:val="73D26BBA"/>
    <w:rsid w:val="74B65081"/>
    <w:rsid w:val="74CF5B11"/>
    <w:rsid w:val="75985F8D"/>
    <w:rsid w:val="763A35B5"/>
    <w:rsid w:val="78F231D7"/>
    <w:rsid w:val="7BE27D1D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spacing w:line="400" w:lineRule="exact"/>
      <w:jc w:val="left"/>
    </w:pPr>
    <w:rPr>
      <w:rFonts w:ascii="宋体" w:hAnsi="宋体"/>
      <w:b/>
      <w:bCs/>
      <w:sz w:val="2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sz w:val="21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2089</Words>
  <Characters>2572</Characters>
  <Lines>4</Lines>
  <Paragraphs>1</Paragraphs>
  <TotalTime>3</TotalTime>
  <ScaleCrop>false</ScaleCrop>
  <LinksUpToDate>false</LinksUpToDate>
  <CharactersWithSpaces>2705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2023-09-20T09:59:00Z</dcterms:created>
  <dc:creator>QX-020</dc:creator>
  <cp:lastModifiedBy>是橙子呀</cp:lastModifiedBy>
  <dcterms:modified xsi:type="dcterms:W3CDTF">2025-04-24T01:21:10Z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A70A3FACB5D34507A72CC88229AE338D_12</vt:lpwstr>
  </property>
  <property fmtid="{D5CDD505-2E9C-101B-9397-08002B2CF9AE}" pid="4" name="KSOTemplateDocerSaveRecord">
    <vt:lpwstr>eyJoZGlkIjoiNjRmM2QzODg0Zjk3NjlkZmQxMTYxMzg4NDIwMmYzYzIiLCJ1c2VySWQiOiIxMjYzNDM2NjgwIn0=</vt:lpwstr>
  </property>
</Properties>
</file>