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询价采购响应文件</w:t>
      </w:r>
    </w:p>
    <w:p w14:paraId="0B5F575B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120402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-1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1600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72.34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3800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74.48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73D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F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10-15MM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2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6700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F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A0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D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79.83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E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18950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18950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lang w:val="en-US" w:eastAsia="zh-CN" w:bidi="ar"/>
              </w:rPr>
              <w:t>3472550.00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碎石总吨位50000T不可增加的情况下，各碎石规格采购数量可据项目实际情况进行调配；调配按各碎石规格合同单价结算，调配后实际结算总金额不超合同总价。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22376177"/>
    <w:rsid w:val="37CA6D3E"/>
    <w:rsid w:val="3E964C3B"/>
    <w:rsid w:val="43AE6CFB"/>
    <w:rsid w:val="50662212"/>
    <w:rsid w:val="558E301D"/>
    <w:rsid w:val="576077E8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485</Characters>
  <Lines>2</Lines>
  <Paragraphs>1</Paragraphs>
  <TotalTime>13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2024-12-04T03:12:00Z</cp:lastPrinted>
  <dcterms:modified xsi:type="dcterms:W3CDTF">2024-12-04T03:37:44Z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4793E5C68C0E4433BFDD0D98AD6BC54A_13</vt:lpwstr>
  </property>
</Properties>
</file>